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4C8FB" w14:textId="4A721D2E" w:rsidR="00644317" w:rsidRPr="00C8084C" w:rsidRDefault="0081705F" w:rsidP="00644317">
      <w:pPr>
        <w:spacing w:after="0" w:line="264" w:lineRule="auto"/>
        <w:jc w:val="center"/>
        <w:rPr>
          <w:rFonts w:ascii="Century Schoolbook" w:hAnsi="Century Schoolbook"/>
          <w:sz w:val="24"/>
          <w:szCs w:val="24"/>
        </w:rPr>
      </w:pPr>
      <w:r>
        <w:rPr>
          <w:rFonts w:ascii="Century Schoolbook" w:hAnsi="Century Schoolbook"/>
          <w:sz w:val="24"/>
          <w:szCs w:val="24"/>
        </w:rPr>
        <w:t>[</w:t>
      </w:r>
      <w:r w:rsidRPr="0081705F">
        <w:rPr>
          <w:rFonts w:ascii="Century Schoolbook" w:hAnsi="Century Schoolbook"/>
          <w:sz w:val="24"/>
          <w:szCs w:val="24"/>
          <w:highlight w:val="yellow"/>
        </w:rPr>
        <w:t>insert name</w:t>
      </w:r>
      <w:r>
        <w:rPr>
          <w:rFonts w:ascii="Century Schoolbook" w:hAnsi="Century Schoolbook"/>
          <w:sz w:val="24"/>
          <w:szCs w:val="24"/>
        </w:rPr>
        <w:t>]</w:t>
      </w:r>
      <w:r w:rsidR="001A78B8">
        <w:rPr>
          <w:rFonts w:ascii="Century Schoolbook" w:hAnsi="Century Schoolbook"/>
          <w:sz w:val="24"/>
          <w:szCs w:val="24"/>
        </w:rPr>
        <w:t xml:space="preserve"> Parish School Board</w:t>
      </w:r>
    </w:p>
    <w:p w14:paraId="013F1A02" w14:textId="048F24C7" w:rsidR="00644317" w:rsidRPr="00C8084C" w:rsidRDefault="0081705F" w:rsidP="00644317">
      <w:pPr>
        <w:spacing w:after="0" w:line="264" w:lineRule="auto"/>
        <w:jc w:val="center"/>
        <w:rPr>
          <w:rFonts w:ascii="Century Schoolbook" w:hAnsi="Century Schoolbook"/>
          <w:sz w:val="24"/>
          <w:szCs w:val="24"/>
        </w:rPr>
      </w:pPr>
      <w:r>
        <w:rPr>
          <w:rFonts w:ascii="Century Schoolbook" w:hAnsi="Century Schoolbook"/>
          <w:sz w:val="24"/>
          <w:szCs w:val="24"/>
        </w:rPr>
        <w:t>[</w:t>
      </w:r>
      <w:r w:rsidRPr="0081705F">
        <w:rPr>
          <w:rFonts w:ascii="Century Schoolbook" w:hAnsi="Century Schoolbook"/>
          <w:sz w:val="24"/>
          <w:szCs w:val="24"/>
          <w:highlight w:val="yellow"/>
        </w:rPr>
        <w:t>date</w:t>
      </w:r>
      <w:r>
        <w:rPr>
          <w:rFonts w:ascii="Century Schoolbook" w:hAnsi="Century Schoolbook"/>
          <w:sz w:val="24"/>
          <w:szCs w:val="24"/>
        </w:rPr>
        <w:t>]</w:t>
      </w:r>
    </w:p>
    <w:p w14:paraId="6CD56384" w14:textId="77777777" w:rsidR="00644317" w:rsidRPr="00C8084C" w:rsidRDefault="00644317" w:rsidP="00644317">
      <w:pPr>
        <w:spacing w:after="0" w:line="264" w:lineRule="auto"/>
        <w:jc w:val="center"/>
        <w:rPr>
          <w:rFonts w:ascii="Century Schoolbook" w:hAnsi="Century Schoolbook"/>
          <w:sz w:val="24"/>
          <w:szCs w:val="24"/>
        </w:rPr>
      </w:pPr>
      <w:r w:rsidRPr="00C8084C">
        <w:rPr>
          <w:rFonts w:ascii="Century Schoolbook" w:hAnsi="Century Schoolbook"/>
          <w:sz w:val="24"/>
          <w:szCs w:val="24"/>
        </w:rPr>
        <w:t>Resolution</w:t>
      </w:r>
    </w:p>
    <w:p w14:paraId="51579FE9" w14:textId="77777777" w:rsidR="00644317" w:rsidRDefault="00644317" w:rsidP="00644317">
      <w:pPr>
        <w:spacing w:after="0" w:line="264" w:lineRule="auto"/>
        <w:jc w:val="both"/>
        <w:rPr>
          <w:rFonts w:ascii="Century Schoolbook" w:hAnsi="Century Schoolbook"/>
          <w:b/>
          <w:sz w:val="24"/>
          <w:szCs w:val="24"/>
        </w:rPr>
      </w:pPr>
    </w:p>
    <w:p w14:paraId="1CCEAF92" w14:textId="0C15EC07" w:rsidR="003670EB" w:rsidRDefault="001A78B8" w:rsidP="00644317">
      <w:pPr>
        <w:spacing w:after="0" w:line="264" w:lineRule="auto"/>
        <w:jc w:val="both"/>
        <w:rPr>
          <w:rFonts w:ascii="Century Schoolbook" w:hAnsi="Century Schoolbook"/>
          <w:bCs/>
          <w:sz w:val="24"/>
          <w:szCs w:val="24"/>
        </w:rPr>
      </w:pPr>
      <w:r>
        <w:rPr>
          <w:rFonts w:ascii="Century Schoolbook" w:hAnsi="Century Schoolbook"/>
          <w:b/>
          <w:sz w:val="24"/>
          <w:szCs w:val="24"/>
        </w:rPr>
        <w:t xml:space="preserve">BE IT FOREVER KNOWN, </w:t>
      </w:r>
      <w:r>
        <w:rPr>
          <w:rFonts w:ascii="Century Schoolbook" w:hAnsi="Century Schoolbook"/>
          <w:bCs/>
          <w:sz w:val="24"/>
          <w:szCs w:val="24"/>
        </w:rPr>
        <w:t>that by official action taken at its meeting</w:t>
      </w:r>
      <w:r w:rsidR="00D53F38">
        <w:rPr>
          <w:rFonts w:ascii="Century Schoolbook" w:hAnsi="Century Schoolbook"/>
          <w:bCs/>
          <w:sz w:val="24"/>
          <w:szCs w:val="24"/>
        </w:rPr>
        <w:t xml:space="preserve"> of </w:t>
      </w:r>
      <w:r w:rsidR="00A87BD0">
        <w:rPr>
          <w:rFonts w:ascii="Century Schoolbook" w:hAnsi="Century Schoolbook"/>
          <w:bCs/>
          <w:sz w:val="24"/>
          <w:szCs w:val="24"/>
        </w:rPr>
        <w:t>[</w:t>
      </w:r>
      <w:r w:rsidR="00A87BD0" w:rsidRPr="00A87BD0">
        <w:rPr>
          <w:rFonts w:ascii="Century Schoolbook" w:hAnsi="Century Schoolbook"/>
          <w:bCs/>
          <w:sz w:val="24"/>
          <w:szCs w:val="24"/>
          <w:highlight w:val="yellow"/>
        </w:rPr>
        <w:t>date</w:t>
      </w:r>
      <w:r w:rsidR="00A87BD0">
        <w:rPr>
          <w:rFonts w:ascii="Century Schoolbook" w:hAnsi="Century Schoolbook"/>
          <w:bCs/>
          <w:sz w:val="24"/>
          <w:szCs w:val="24"/>
        </w:rPr>
        <w:t>]</w:t>
      </w:r>
      <w:r w:rsidR="00D53F38">
        <w:rPr>
          <w:rFonts w:ascii="Century Schoolbook" w:hAnsi="Century Schoolbook"/>
          <w:bCs/>
          <w:sz w:val="24"/>
          <w:szCs w:val="24"/>
        </w:rPr>
        <w:t xml:space="preserve">, the </w:t>
      </w:r>
      <w:r w:rsidR="00A87BD0">
        <w:rPr>
          <w:rFonts w:ascii="Century Schoolbook" w:hAnsi="Century Schoolbook"/>
          <w:bCs/>
          <w:sz w:val="24"/>
          <w:szCs w:val="24"/>
        </w:rPr>
        <w:t>[</w:t>
      </w:r>
      <w:r w:rsidR="00A87BD0" w:rsidRPr="00A87BD0">
        <w:rPr>
          <w:rFonts w:ascii="Century Schoolbook" w:hAnsi="Century Schoolbook"/>
          <w:bCs/>
          <w:sz w:val="24"/>
          <w:szCs w:val="24"/>
          <w:highlight w:val="yellow"/>
        </w:rPr>
        <w:t>insert name</w:t>
      </w:r>
      <w:r w:rsidR="00A87BD0">
        <w:rPr>
          <w:rFonts w:ascii="Century Schoolbook" w:hAnsi="Century Schoolbook"/>
          <w:bCs/>
          <w:sz w:val="24"/>
          <w:szCs w:val="24"/>
        </w:rPr>
        <w:t>]</w:t>
      </w:r>
      <w:r w:rsidR="003670EB">
        <w:rPr>
          <w:rFonts w:ascii="Century Schoolbook" w:hAnsi="Century Schoolbook"/>
          <w:bCs/>
          <w:sz w:val="24"/>
          <w:szCs w:val="24"/>
        </w:rPr>
        <w:t xml:space="preserve"> Parish School Board</w:t>
      </w:r>
      <w:r w:rsidR="009008B7">
        <w:rPr>
          <w:rFonts w:ascii="Century Schoolbook" w:hAnsi="Century Schoolbook"/>
          <w:bCs/>
          <w:sz w:val="24"/>
          <w:szCs w:val="24"/>
        </w:rPr>
        <w:t xml:space="preserve"> (sometimes referred to as the “Board”)</w:t>
      </w:r>
      <w:r w:rsidR="003670EB">
        <w:rPr>
          <w:rFonts w:ascii="Century Schoolbook" w:hAnsi="Century Schoolbook"/>
          <w:bCs/>
          <w:sz w:val="24"/>
          <w:szCs w:val="24"/>
        </w:rPr>
        <w:t xml:space="preserve"> adopted the following resolution:</w:t>
      </w:r>
    </w:p>
    <w:p w14:paraId="61870914" w14:textId="77777777" w:rsidR="003670EB" w:rsidRDefault="003670EB" w:rsidP="00644317">
      <w:pPr>
        <w:spacing w:after="0" w:line="264" w:lineRule="auto"/>
        <w:jc w:val="both"/>
        <w:rPr>
          <w:rFonts w:ascii="Century Schoolbook" w:hAnsi="Century Schoolbook"/>
          <w:bCs/>
          <w:sz w:val="24"/>
          <w:szCs w:val="24"/>
        </w:rPr>
      </w:pPr>
    </w:p>
    <w:p w14:paraId="299E94AC" w14:textId="541B0FE4" w:rsidR="00644317" w:rsidRPr="00C8084C" w:rsidRDefault="00644317" w:rsidP="00644317">
      <w:pPr>
        <w:spacing w:after="0" w:line="264" w:lineRule="auto"/>
        <w:jc w:val="both"/>
        <w:rPr>
          <w:rFonts w:ascii="Century Schoolbook" w:hAnsi="Century Schoolbook"/>
          <w:sz w:val="24"/>
          <w:szCs w:val="24"/>
        </w:rPr>
      </w:pPr>
      <w:r w:rsidRPr="00C8084C">
        <w:rPr>
          <w:rFonts w:ascii="Century Schoolbook" w:hAnsi="Century Schoolbook"/>
          <w:b/>
          <w:sz w:val="24"/>
          <w:szCs w:val="24"/>
        </w:rPr>
        <w:t>WHEREAS</w:t>
      </w:r>
      <w:r w:rsidRPr="00C8084C">
        <w:rPr>
          <w:rFonts w:ascii="Century Schoolbook" w:hAnsi="Century Schoolbook"/>
          <w:sz w:val="24"/>
          <w:szCs w:val="24"/>
        </w:rPr>
        <w:t xml:space="preserve">, the </w:t>
      </w:r>
      <w:r w:rsidR="00E55B85">
        <w:rPr>
          <w:rFonts w:ascii="Century Schoolbook" w:hAnsi="Century Schoolbook"/>
          <w:sz w:val="24"/>
          <w:szCs w:val="24"/>
        </w:rPr>
        <w:t>Louisiana Legislature enacted, and the Governor signed into law, H.B. 71 (also known as Act No. 676);</w:t>
      </w:r>
      <w:r w:rsidR="00D1237A">
        <w:rPr>
          <w:rFonts w:ascii="Century Schoolbook" w:hAnsi="Century Schoolbook"/>
          <w:sz w:val="24"/>
          <w:szCs w:val="24"/>
        </w:rPr>
        <w:t xml:space="preserve"> </w:t>
      </w:r>
    </w:p>
    <w:p w14:paraId="43BA5AF5" w14:textId="77777777" w:rsidR="00644317" w:rsidRPr="00C8084C" w:rsidRDefault="00644317" w:rsidP="00644317">
      <w:pPr>
        <w:spacing w:after="0" w:line="264" w:lineRule="auto"/>
        <w:jc w:val="both"/>
        <w:rPr>
          <w:rFonts w:ascii="Century Schoolbook" w:hAnsi="Century Schoolbook"/>
          <w:sz w:val="24"/>
          <w:szCs w:val="24"/>
        </w:rPr>
      </w:pPr>
    </w:p>
    <w:p w14:paraId="062B58E6" w14:textId="547392EA" w:rsidR="00F34F62" w:rsidRDefault="00644317" w:rsidP="00644317">
      <w:pPr>
        <w:spacing w:after="0" w:line="264" w:lineRule="auto"/>
        <w:jc w:val="both"/>
        <w:rPr>
          <w:rFonts w:ascii="Century Schoolbook" w:hAnsi="Century Schoolbook"/>
          <w:sz w:val="24"/>
          <w:szCs w:val="24"/>
        </w:rPr>
      </w:pPr>
      <w:r w:rsidRPr="00C8084C">
        <w:rPr>
          <w:rFonts w:ascii="Century Schoolbook" w:hAnsi="Century Schoolbook"/>
          <w:b/>
          <w:sz w:val="24"/>
          <w:szCs w:val="24"/>
        </w:rPr>
        <w:t>WHEREAS</w:t>
      </w:r>
      <w:r w:rsidRPr="00C8084C">
        <w:rPr>
          <w:rFonts w:ascii="Century Schoolbook" w:hAnsi="Century Schoolbook"/>
          <w:sz w:val="24"/>
          <w:szCs w:val="24"/>
        </w:rPr>
        <w:t xml:space="preserve">, </w:t>
      </w:r>
      <w:r w:rsidR="00E55B85">
        <w:rPr>
          <w:rFonts w:ascii="Century Schoolbook" w:hAnsi="Century Schoolbook"/>
          <w:sz w:val="24"/>
          <w:szCs w:val="24"/>
        </w:rPr>
        <w:t>H.B. 71 reflects the Legislature’s observation that “the Supreme Court of the United States [has] recognized that the Ten Commandments ‘have historical significance as one of the foundations of our legal system’”;</w:t>
      </w:r>
      <w:r w:rsidR="00F34F62">
        <w:rPr>
          <w:rFonts w:ascii="Century Schoolbook" w:hAnsi="Century Schoolbook"/>
          <w:sz w:val="24"/>
          <w:szCs w:val="24"/>
        </w:rPr>
        <w:t xml:space="preserve"> </w:t>
      </w:r>
    </w:p>
    <w:p w14:paraId="3FC9E4B6" w14:textId="77777777" w:rsidR="00644317" w:rsidRPr="00C8084C" w:rsidRDefault="00644317" w:rsidP="00644317">
      <w:pPr>
        <w:spacing w:after="0" w:line="264" w:lineRule="auto"/>
        <w:jc w:val="both"/>
        <w:rPr>
          <w:rFonts w:ascii="Century Schoolbook" w:hAnsi="Century Schoolbook"/>
          <w:sz w:val="24"/>
          <w:szCs w:val="24"/>
        </w:rPr>
      </w:pPr>
    </w:p>
    <w:p w14:paraId="55CDEFE9" w14:textId="4F8F0231" w:rsidR="00F34F62" w:rsidRDefault="00644317" w:rsidP="00644317">
      <w:pPr>
        <w:spacing w:after="0" w:line="264" w:lineRule="auto"/>
        <w:jc w:val="both"/>
        <w:rPr>
          <w:rFonts w:ascii="Century Schoolbook" w:hAnsi="Century Schoolbook"/>
          <w:sz w:val="24"/>
          <w:szCs w:val="24"/>
        </w:rPr>
      </w:pPr>
      <w:r w:rsidRPr="00C8084C">
        <w:rPr>
          <w:rFonts w:ascii="Century Schoolbook" w:hAnsi="Century Schoolbook"/>
          <w:b/>
          <w:sz w:val="24"/>
          <w:szCs w:val="24"/>
        </w:rPr>
        <w:t>WHEREAS</w:t>
      </w:r>
      <w:r w:rsidRPr="00C8084C">
        <w:rPr>
          <w:rFonts w:ascii="Century Schoolbook" w:hAnsi="Century Schoolbook"/>
          <w:sz w:val="24"/>
          <w:szCs w:val="24"/>
        </w:rPr>
        <w:t xml:space="preserve">, </w:t>
      </w:r>
      <w:r w:rsidR="00E55B85">
        <w:rPr>
          <w:rFonts w:ascii="Century Schoolbook" w:hAnsi="Century Schoolbook"/>
          <w:sz w:val="24"/>
          <w:szCs w:val="24"/>
        </w:rPr>
        <w:t>H.B. 71 reflects the Legislature’s “intent to ... ensure that the students in our public schools may understand and appreciate the foundational documents of our state and national government”;</w:t>
      </w:r>
      <w:r w:rsidR="00F34F62">
        <w:rPr>
          <w:rFonts w:ascii="Century Schoolbook" w:hAnsi="Century Schoolbook"/>
          <w:sz w:val="24"/>
          <w:szCs w:val="24"/>
        </w:rPr>
        <w:t xml:space="preserve"> </w:t>
      </w:r>
    </w:p>
    <w:p w14:paraId="29347256" w14:textId="77777777" w:rsidR="00644317" w:rsidRDefault="00644317" w:rsidP="00644317">
      <w:pPr>
        <w:spacing w:after="0" w:line="264" w:lineRule="auto"/>
        <w:jc w:val="both"/>
        <w:rPr>
          <w:rFonts w:ascii="Century Schoolbook" w:hAnsi="Century Schoolbook"/>
          <w:sz w:val="24"/>
          <w:szCs w:val="24"/>
        </w:rPr>
      </w:pPr>
    </w:p>
    <w:p w14:paraId="5C131E8A" w14:textId="0AED45B5" w:rsidR="00644317" w:rsidRDefault="003670EB" w:rsidP="00644317">
      <w:pPr>
        <w:spacing w:after="0" w:line="264" w:lineRule="auto"/>
        <w:jc w:val="both"/>
        <w:rPr>
          <w:rFonts w:ascii="Century Schoolbook" w:hAnsi="Century Schoolbook"/>
          <w:sz w:val="24"/>
          <w:szCs w:val="24"/>
        </w:rPr>
      </w:pPr>
      <w:r w:rsidRPr="00C8084C">
        <w:rPr>
          <w:rFonts w:ascii="Century Schoolbook" w:hAnsi="Century Schoolbook"/>
          <w:b/>
          <w:sz w:val="24"/>
          <w:szCs w:val="24"/>
        </w:rPr>
        <w:t>WHEREAS</w:t>
      </w:r>
      <w:r>
        <w:rPr>
          <w:rFonts w:ascii="Century Schoolbook" w:hAnsi="Century Schoolbook"/>
          <w:sz w:val="24"/>
          <w:szCs w:val="24"/>
        </w:rPr>
        <w:t>,</w:t>
      </w:r>
      <w:r w:rsidR="00E55B85">
        <w:rPr>
          <w:rFonts w:ascii="Century Schoolbook" w:hAnsi="Century Schoolbook"/>
          <w:sz w:val="24"/>
          <w:szCs w:val="24"/>
        </w:rPr>
        <w:t xml:space="preserve"> to effectuate that intent, H.B. 71 directs “each public school governing authority [to] display the Ten Commandments in each classroom in each school under its jurisdiction,” in accordance with specific minimum requirements;</w:t>
      </w:r>
      <w:r w:rsidR="009008B7">
        <w:rPr>
          <w:rFonts w:ascii="Century Schoolbook" w:hAnsi="Century Schoolbook"/>
          <w:sz w:val="24"/>
          <w:szCs w:val="24"/>
        </w:rPr>
        <w:t xml:space="preserve"> </w:t>
      </w:r>
    </w:p>
    <w:p w14:paraId="4B97DEC2" w14:textId="77777777" w:rsidR="00E55B85" w:rsidRDefault="00E55B85" w:rsidP="00644317">
      <w:pPr>
        <w:spacing w:after="0" w:line="264" w:lineRule="auto"/>
        <w:jc w:val="both"/>
        <w:rPr>
          <w:rFonts w:ascii="Century Schoolbook" w:hAnsi="Century Schoolbook"/>
          <w:sz w:val="24"/>
          <w:szCs w:val="24"/>
        </w:rPr>
      </w:pPr>
    </w:p>
    <w:p w14:paraId="51D260F3" w14:textId="1025FBA7" w:rsidR="00E55B85" w:rsidRDefault="00E55B85" w:rsidP="00E55B85">
      <w:pPr>
        <w:spacing w:after="0" w:line="264" w:lineRule="auto"/>
        <w:jc w:val="both"/>
        <w:rPr>
          <w:rFonts w:ascii="Century Schoolbook" w:hAnsi="Century Schoolbook"/>
          <w:sz w:val="24"/>
          <w:szCs w:val="24"/>
        </w:rPr>
      </w:pPr>
      <w:r w:rsidRPr="00C8084C">
        <w:rPr>
          <w:rFonts w:ascii="Century Schoolbook" w:hAnsi="Century Schoolbook"/>
          <w:b/>
          <w:sz w:val="24"/>
          <w:szCs w:val="24"/>
        </w:rPr>
        <w:t>WHEREAS</w:t>
      </w:r>
      <w:r>
        <w:rPr>
          <w:rFonts w:ascii="Century Schoolbook" w:hAnsi="Century Schoolbook"/>
          <w:sz w:val="24"/>
          <w:szCs w:val="24"/>
        </w:rPr>
        <w:t xml:space="preserve">, H.B. 71 provides that “[t]he nature of the display shall be determined by each governing authority”; </w:t>
      </w:r>
    </w:p>
    <w:p w14:paraId="1EEC9BC6" w14:textId="15DBCBDD" w:rsidR="003670EB" w:rsidRDefault="003670EB" w:rsidP="00644317">
      <w:pPr>
        <w:spacing w:after="0" w:line="264" w:lineRule="auto"/>
        <w:jc w:val="both"/>
        <w:rPr>
          <w:rFonts w:ascii="Century Schoolbook" w:hAnsi="Century Schoolbook"/>
          <w:sz w:val="24"/>
          <w:szCs w:val="24"/>
        </w:rPr>
      </w:pPr>
    </w:p>
    <w:p w14:paraId="570CE19F" w14:textId="58F9A13B" w:rsidR="00973BDE" w:rsidRDefault="003670EB" w:rsidP="00644317">
      <w:pPr>
        <w:spacing w:after="0" w:line="264" w:lineRule="auto"/>
        <w:jc w:val="both"/>
        <w:rPr>
          <w:rFonts w:ascii="Century Schoolbook" w:hAnsi="Century Schoolbook"/>
          <w:sz w:val="24"/>
          <w:szCs w:val="24"/>
        </w:rPr>
      </w:pPr>
      <w:r w:rsidRPr="003670EB">
        <w:rPr>
          <w:rFonts w:ascii="Century Schoolbook" w:hAnsi="Century Schoolbook"/>
          <w:b/>
          <w:bCs/>
          <w:sz w:val="24"/>
          <w:szCs w:val="24"/>
        </w:rPr>
        <w:t>WHEREAS</w:t>
      </w:r>
      <w:r>
        <w:rPr>
          <w:rFonts w:ascii="Century Schoolbook" w:hAnsi="Century Schoolbook"/>
          <w:sz w:val="24"/>
          <w:szCs w:val="24"/>
        </w:rPr>
        <w:t xml:space="preserve">, </w:t>
      </w:r>
      <w:r w:rsidR="00E55B85">
        <w:rPr>
          <w:rFonts w:ascii="Century Schoolbook" w:hAnsi="Century Schoolbook"/>
          <w:sz w:val="24"/>
          <w:szCs w:val="24"/>
        </w:rPr>
        <w:t xml:space="preserve">the Attorney General promulgated </w:t>
      </w:r>
      <w:r w:rsidR="00AE5811">
        <w:rPr>
          <w:rFonts w:ascii="Century Schoolbook" w:hAnsi="Century Schoolbook"/>
          <w:sz w:val="24"/>
          <w:szCs w:val="24"/>
        </w:rPr>
        <w:t xml:space="preserve">a </w:t>
      </w:r>
      <w:r w:rsidR="005E2C22">
        <w:rPr>
          <w:rFonts w:ascii="Century Schoolbook" w:hAnsi="Century Schoolbook"/>
          <w:sz w:val="24"/>
          <w:szCs w:val="24"/>
        </w:rPr>
        <w:t>guidance</w:t>
      </w:r>
      <w:r w:rsidR="00AE5811">
        <w:rPr>
          <w:rFonts w:ascii="Century Schoolbook" w:hAnsi="Century Schoolbook"/>
          <w:sz w:val="24"/>
          <w:szCs w:val="24"/>
        </w:rPr>
        <w:t xml:space="preserve"> letter</w:t>
      </w:r>
      <w:r w:rsidR="00074BFB">
        <w:rPr>
          <w:rFonts w:ascii="Century Schoolbook" w:hAnsi="Century Schoolbook"/>
          <w:sz w:val="24"/>
          <w:szCs w:val="24"/>
        </w:rPr>
        <w:t xml:space="preserve"> on January 3, 2025</w:t>
      </w:r>
      <w:r w:rsidR="00973BDE">
        <w:rPr>
          <w:rFonts w:ascii="Century Schoolbook" w:hAnsi="Century Schoolbook"/>
          <w:sz w:val="24"/>
          <w:szCs w:val="24"/>
        </w:rPr>
        <w:t>, containing the following recommendation</w:t>
      </w:r>
      <w:r w:rsidR="00074BFB">
        <w:rPr>
          <w:rFonts w:ascii="Century Schoolbook" w:hAnsi="Century Schoolbook"/>
          <w:sz w:val="24"/>
          <w:szCs w:val="24"/>
        </w:rPr>
        <w:t>:</w:t>
      </w:r>
      <w:bookmarkStart w:id="0" w:name="_GoBack"/>
      <w:bookmarkEnd w:id="0"/>
    </w:p>
    <w:p w14:paraId="42CC6396" w14:textId="77777777" w:rsidR="00973BDE" w:rsidRDefault="00973BDE" w:rsidP="00644317">
      <w:pPr>
        <w:spacing w:after="0" w:line="264" w:lineRule="auto"/>
        <w:jc w:val="both"/>
        <w:rPr>
          <w:rFonts w:ascii="Century Schoolbook" w:hAnsi="Century Schoolbook"/>
          <w:sz w:val="24"/>
          <w:szCs w:val="24"/>
        </w:rPr>
      </w:pPr>
    </w:p>
    <w:p w14:paraId="3000BD5D" w14:textId="77777777" w:rsidR="00074BFB" w:rsidRPr="00074BFB" w:rsidRDefault="00074BFB" w:rsidP="00074BFB">
      <w:pPr>
        <w:spacing w:after="0" w:line="264" w:lineRule="auto"/>
        <w:ind w:left="720" w:right="720"/>
        <w:jc w:val="both"/>
        <w:rPr>
          <w:rFonts w:ascii="Century Schoolbook" w:hAnsi="Century Schoolbook"/>
          <w:sz w:val="24"/>
          <w:szCs w:val="24"/>
        </w:rPr>
      </w:pPr>
      <w:r w:rsidRPr="00074BFB">
        <w:rPr>
          <w:rFonts w:ascii="Century Schoolbook" w:hAnsi="Century Schoolbook"/>
          <w:sz w:val="24"/>
          <w:szCs w:val="24"/>
        </w:rPr>
        <w:t>Louisiana schools should implement H.B. 71 pursuant to the following parameters:</w:t>
      </w:r>
    </w:p>
    <w:p w14:paraId="276D534E" w14:textId="77777777" w:rsidR="00074BFB" w:rsidRPr="00074BFB" w:rsidRDefault="00074BFB" w:rsidP="00074BFB">
      <w:pPr>
        <w:spacing w:after="0" w:line="264" w:lineRule="auto"/>
        <w:ind w:left="720" w:right="720"/>
        <w:jc w:val="both"/>
        <w:rPr>
          <w:rFonts w:ascii="Century Schoolbook" w:hAnsi="Century Schoolbook"/>
          <w:sz w:val="24"/>
          <w:szCs w:val="24"/>
        </w:rPr>
      </w:pPr>
    </w:p>
    <w:p w14:paraId="2821ABDB" w14:textId="77777777" w:rsidR="00074BFB" w:rsidRPr="00074BFB" w:rsidRDefault="00074BFB" w:rsidP="00074BFB">
      <w:pPr>
        <w:numPr>
          <w:ilvl w:val="0"/>
          <w:numId w:val="1"/>
        </w:numPr>
        <w:spacing w:after="0" w:line="264" w:lineRule="auto"/>
        <w:ind w:left="720" w:right="720" w:firstLine="0"/>
        <w:jc w:val="both"/>
        <w:rPr>
          <w:rFonts w:ascii="Century Schoolbook" w:hAnsi="Century Schoolbook"/>
          <w:sz w:val="24"/>
          <w:szCs w:val="24"/>
        </w:rPr>
      </w:pPr>
      <w:r w:rsidRPr="00074BFB">
        <w:rPr>
          <w:rFonts w:ascii="Century Schoolbook" w:hAnsi="Century Schoolbook"/>
          <w:sz w:val="24"/>
          <w:szCs w:val="24"/>
        </w:rPr>
        <w:t>A school should select, and display at its discretion, the four displays attached to this guidance letter—provided that the displays themselves or funding for the displays are donated—such that any given display may appear in any given classroom.</w:t>
      </w:r>
    </w:p>
    <w:p w14:paraId="2ECAC634" w14:textId="77777777" w:rsidR="00074BFB" w:rsidRPr="00074BFB" w:rsidRDefault="00074BFB" w:rsidP="00074BFB">
      <w:pPr>
        <w:numPr>
          <w:ilvl w:val="0"/>
          <w:numId w:val="1"/>
        </w:numPr>
        <w:spacing w:after="0" w:line="264" w:lineRule="auto"/>
        <w:ind w:left="720" w:right="720" w:firstLine="0"/>
        <w:jc w:val="both"/>
        <w:rPr>
          <w:rFonts w:ascii="Century Schoolbook" w:hAnsi="Century Schoolbook"/>
          <w:sz w:val="24"/>
          <w:szCs w:val="24"/>
        </w:rPr>
      </w:pPr>
      <w:r w:rsidRPr="00074BFB">
        <w:rPr>
          <w:rFonts w:ascii="Century Schoolbook" w:hAnsi="Century Schoolbook"/>
          <w:sz w:val="24"/>
          <w:szCs w:val="24"/>
        </w:rPr>
        <w:t>To ensure readability, each display should be between the statutory minimum size, 11 inches by 14 inches, and 18 inches by 24 inches.</w:t>
      </w:r>
    </w:p>
    <w:p w14:paraId="342283F8" w14:textId="77777777" w:rsidR="00074BFB" w:rsidRPr="00074BFB" w:rsidRDefault="00074BFB" w:rsidP="00074BFB">
      <w:pPr>
        <w:numPr>
          <w:ilvl w:val="0"/>
          <w:numId w:val="1"/>
        </w:numPr>
        <w:spacing w:after="0" w:line="264" w:lineRule="auto"/>
        <w:ind w:left="720" w:right="720" w:firstLine="0"/>
        <w:jc w:val="both"/>
        <w:rPr>
          <w:rFonts w:ascii="Century Schoolbook" w:hAnsi="Century Schoolbook"/>
          <w:sz w:val="24"/>
          <w:szCs w:val="24"/>
        </w:rPr>
      </w:pPr>
      <w:r w:rsidRPr="00074BFB">
        <w:rPr>
          <w:rFonts w:ascii="Century Schoolbook" w:hAnsi="Century Schoolbook"/>
          <w:sz w:val="24"/>
          <w:szCs w:val="24"/>
        </w:rPr>
        <w:lastRenderedPageBreak/>
        <w:t xml:space="preserve">To avoid any possibility of confusion regarding whether displays are attributable to individual teachers, a school should place its displays on any classroom wall other than behind a teacher’s desk, podium, or location from which a teacher ordinarily delivers instruction. </w:t>
      </w:r>
    </w:p>
    <w:p w14:paraId="2B2D9B16" w14:textId="77777777" w:rsidR="00074BFB" w:rsidRPr="00074BFB" w:rsidRDefault="00074BFB" w:rsidP="00074BFB">
      <w:pPr>
        <w:numPr>
          <w:ilvl w:val="0"/>
          <w:numId w:val="1"/>
        </w:numPr>
        <w:spacing w:after="0" w:line="264" w:lineRule="auto"/>
        <w:ind w:left="720" w:right="720" w:firstLine="0"/>
        <w:jc w:val="both"/>
        <w:rPr>
          <w:rFonts w:ascii="Century Schoolbook" w:hAnsi="Century Schoolbook"/>
          <w:sz w:val="24"/>
          <w:szCs w:val="24"/>
        </w:rPr>
      </w:pPr>
      <w:r w:rsidRPr="00074BFB">
        <w:rPr>
          <w:rFonts w:ascii="Century Schoolbook" w:hAnsi="Century Schoolbook"/>
          <w:sz w:val="24"/>
          <w:szCs w:val="24"/>
        </w:rPr>
        <w:t xml:space="preserve">A school should seek to place its displays among others reflecting educational content, such as those displaying the Mayflower Compact, the Declaration of Independence, and the Northwest Ordinance, </w:t>
      </w:r>
      <w:r w:rsidRPr="00074BFB">
        <w:rPr>
          <w:rFonts w:ascii="Century Schoolbook" w:hAnsi="Century Schoolbook"/>
          <w:i/>
          <w:sz w:val="24"/>
          <w:szCs w:val="24"/>
        </w:rPr>
        <w:t xml:space="preserve">see </w:t>
      </w:r>
      <w:r w:rsidRPr="00074BFB">
        <w:rPr>
          <w:rFonts w:ascii="Century Schoolbook" w:hAnsi="Century Schoolbook"/>
          <w:sz w:val="24"/>
          <w:szCs w:val="24"/>
        </w:rPr>
        <w:t>La. R.S. 25:1282.</w:t>
      </w:r>
    </w:p>
    <w:p w14:paraId="3F1D9187" w14:textId="4C7CBFCA" w:rsidR="003670EB" w:rsidRPr="00C8084C" w:rsidRDefault="003670EB" w:rsidP="00644317">
      <w:pPr>
        <w:spacing w:after="0" w:line="264" w:lineRule="auto"/>
        <w:jc w:val="both"/>
        <w:rPr>
          <w:rFonts w:ascii="Century Schoolbook" w:hAnsi="Century Schoolbook"/>
          <w:sz w:val="24"/>
          <w:szCs w:val="24"/>
        </w:rPr>
      </w:pPr>
    </w:p>
    <w:p w14:paraId="7230C1C6" w14:textId="4B217BEC" w:rsidR="00C65A12" w:rsidRDefault="00644317" w:rsidP="00F8667F">
      <w:pPr>
        <w:spacing w:after="0" w:line="264" w:lineRule="auto"/>
        <w:jc w:val="both"/>
        <w:rPr>
          <w:rFonts w:ascii="Century Schoolbook" w:hAnsi="Century Schoolbook"/>
          <w:sz w:val="24"/>
          <w:szCs w:val="24"/>
        </w:rPr>
      </w:pPr>
      <w:r w:rsidRPr="00C8084C">
        <w:rPr>
          <w:rFonts w:ascii="Century Schoolbook" w:hAnsi="Century Schoolbook"/>
          <w:b/>
          <w:sz w:val="24"/>
          <w:szCs w:val="24"/>
        </w:rPr>
        <w:t>NOW, THEREFORE, BE IT RESOLVED</w:t>
      </w:r>
      <w:r w:rsidR="009008B7">
        <w:rPr>
          <w:rFonts w:ascii="Century Schoolbook" w:hAnsi="Century Schoolbook"/>
          <w:b/>
          <w:sz w:val="24"/>
          <w:szCs w:val="24"/>
        </w:rPr>
        <w:t>,</w:t>
      </w:r>
      <w:r w:rsidRPr="00C8084C">
        <w:rPr>
          <w:rFonts w:ascii="Century Schoolbook" w:hAnsi="Century Schoolbook"/>
          <w:b/>
          <w:sz w:val="24"/>
          <w:szCs w:val="24"/>
        </w:rPr>
        <w:t xml:space="preserve"> </w:t>
      </w:r>
      <w:r w:rsidRPr="00C8084C">
        <w:rPr>
          <w:rFonts w:ascii="Century Schoolbook" w:hAnsi="Century Schoolbook"/>
          <w:sz w:val="24"/>
          <w:szCs w:val="24"/>
        </w:rPr>
        <w:t>that</w:t>
      </w:r>
      <w:r w:rsidR="003670EB">
        <w:rPr>
          <w:rFonts w:ascii="Century Schoolbook" w:hAnsi="Century Schoolbook"/>
          <w:sz w:val="24"/>
          <w:szCs w:val="24"/>
        </w:rPr>
        <w:t xml:space="preserve"> by the vote reflected herein</w:t>
      </w:r>
      <w:r w:rsidR="000D2E36">
        <w:rPr>
          <w:rFonts w:ascii="Century Schoolbook" w:hAnsi="Century Schoolbook"/>
          <w:sz w:val="24"/>
          <w:szCs w:val="24"/>
        </w:rPr>
        <w:t xml:space="preserve"> </w:t>
      </w:r>
      <w:r w:rsidR="003670EB">
        <w:rPr>
          <w:rFonts w:ascii="Century Schoolbook" w:hAnsi="Century Schoolbook"/>
          <w:sz w:val="24"/>
          <w:szCs w:val="24"/>
        </w:rPr>
        <w:t xml:space="preserve">below, the </w:t>
      </w:r>
      <w:r w:rsidR="00A87BD0">
        <w:rPr>
          <w:rFonts w:ascii="Century Schoolbook" w:hAnsi="Century Schoolbook"/>
          <w:sz w:val="24"/>
          <w:szCs w:val="24"/>
        </w:rPr>
        <w:t>[</w:t>
      </w:r>
      <w:r w:rsidR="00A87BD0" w:rsidRPr="00A87BD0">
        <w:rPr>
          <w:rFonts w:ascii="Century Schoolbook" w:hAnsi="Century Schoolbook"/>
          <w:sz w:val="24"/>
          <w:szCs w:val="24"/>
          <w:highlight w:val="yellow"/>
        </w:rPr>
        <w:t>insert name</w:t>
      </w:r>
      <w:r w:rsidR="00A87BD0">
        <w:rPr>
          <w:rFonts w:ascii="Century Schoolbook" w:hAnsi="Century Schoolbook"/>
          <w:sz w:val="24"/>
          <w:szCs w:val="24"/>
        </w:rPr>
        <w:t>]</w:t>
      </w:r>
      <w:r w:rsidR="003670EB">
        <w:rPr>
          <w:rFonts w:ascii="Century Schoolbook" w:hAnsi="Century Schoolbook"/>
          <w:sz w:val="24"/>
          <w:szCs w:val="24"/>
        </w:rPr>
        <w:t xml:space="preserve"> Parish School Board does hereby elect to</w:t>
      </w:r>
      <w:r w:rsidR="00824738">
        <w:rPr>
          <w:rFonts w:ascii="Century Schoolbook" w:hAnsi="Century Schoolbook"/>
          <w:sz w:val="24"/>
          <w:szCs w:val="24"/>
        </w:rPr>
        <w:t xml:space="preserve"> </w:t>
      </w:r>
      <w:r w:rsidR="005E2C22">
        <w:rPr>
          <w:rFonts w:ascii="Century Schoolbook" w:hAnsi="Century Schoolbook"/>
          <w:sz w:val="24"/>
          <w:szCs w:val="24"/>
        </w:rPr>
        <w:t xml:space="preserve">(a) adopt the Attorney General’s guidance </w:t>
      </w:r>
      <w:r w:rsidR="00AE5811">
        <w:rPr>
          <w:rFonts w:ascii="Century Schoolbook" w:hAnsi="Century Schoolbook"/>
          <w:sz w:val="24"/>
          <w:szCs w:val="24"/>
        </w:rPr>
        <w:t xml:space="preserve">as </w:t>
      </w:r>
      <w:r w:rsidR="00973BDE">
        <w:rPr>
          <w:rFonts w:ascii="Century Schoolbook" w:hAnsi="Century Schoolbook"/>
          <w:sz w:val="24"/>
          <w:szCs w:val="24"/>
        </w:rPr>
        <w:t>its own</w:t>
      </w:r>
      <w:r w:rsidR="00667084">
        <w:rPr>
          <w:rFonts w:ascii="Century Schoolbook" w:hAnsi="Century Schoolbook"/>
          <w:sz w:val="24"/>
          <w:szCs w:val="24"/>
        </w:rPr>
        <w:t xml:space="preserve"> </w:t>
      </w:r>
      <w:r w:rsidR="005E2C22">
        <w:rPr>
          <w:rFonts w:ascii="Century Schoolbook" w:hAnsi="Century Schoolbook"/>
          <w:sz w:val="24"/>
          <w:szCs w:val="24"/>
        </w:rPr>
        <w:t>and (b) direct all schools within its jurisdiction to immediately implement H.B. 71 in accordance with that guidance, provided that the specified displays or funding are donated</w:t>
      </w:r>
      <w:r w:rsidR="00667084">
        <w:rPr>
          <w:rFonts w:ascii="Century Schoolbook" w:hAnsi="Century Schoolbook"/>
          <w:sz w:val="24"/>
          <w:szCs w:val="24"/>
        </w:rPr>
        <w:t>:</w:t>
      </w:r>
    </w:p>
    <w:p w14:paraId="67171FF7" w14:textId="6218C9F7" w:rsidR="00AC2F97" w:rsidRDefault="00AC2F97" w:rsidP="00F8667F">
      <w:pPr>
        <w:spacing w:after="0" w:line="264" w:lineRule="auto"/>
        <w:jc w:val="both"/>
        <w:rPr>
          <w:rFonts w:ascii="Century Schoolbook" w:hAnsi="Century Schoolbook"/>
          <w:sz w:val="24"/>
          <w:szCs w:val="24"/>
        </w:rPr>
      </w:pPr>
    </w:p>
    <w:p w14:paraId="1030151B" w14:textId="77777777" w:rsidR="009008B7" w:rsidRDefault="009008B7" w:rsidP="00F8667F">
      <w:pPr>
        <w:spacing w:after="0" w:line="264" w:lineRule="auto"/>
        <w:jc w:val="both"/>
        <w:rPr>
          <w:rFonts w:ascii="Century Schoolbook" w:hAnsi="Century Schoolbook"/>
          <w:sz w:val="24"/>
          <w:szCs w:val="24"/>
        </w:rPr>
      </w:pPr>
      <w:r>
        <w:rPr>
          <w:rFonts w:ascii="Century Schoolbook" w:hAnsi="Century Schoolbook"/>
          <w:sz w:val="24"/>
          <w:szCs w:val="24"/>
        </w:rPr>
        <w:t>ON THE MOTION OF _______________ and seconded by ________________, the following votes were cast:</w:t>
      </w:r>
    </w:p>
    <w:p w14:paraId="4FCDDF67" w14:textId="77777777" w:rsidR="009008B7" w:rsidRDefault="009008B7" w:rsidP="00F8667F">
      <w:pPr>
        <w:spacing w:after="0" w:line="264" w:lineRule="auto"/>
        <w:jc w:val="both"/>
        <w:rPr>
          <w:rFonts w:ascii="Century Schoolbook" w:hAnsi="Century Schoolbook"/>
          <w:sz w:val="24"/>
          <w:szCs w:val="24"/>
        </w:rPr>
      </w:pPr>
    </w:p>
    <w:p w14:paraId="4FCE8DF3" w14:textId="77777777" w:rsidR="009008B7" w:rsidRDefault="009008B7" w:rsidP="00F8667F">
      <w:pPr>
        <w:spacing w:after="0" w:line="264" w:lineRule="auto"/>
        <w:jc w:val="both"/>
        <w:rPr>
          <w:rFonts w:ascii="Century Schoolbook" w:hAnsi="Century Schoolbook"/>
          <w:sz w:val="24"/>
          <w:szCs w:val="24"/>
        </w:rPr>
      </w:pPr>
    </w:p>
    <w:p w14:paraId="21FF8D5F" w14:textId="5562F144" w:rsidR="009008B7" w:rsidRDefault="009008B7" w:rsidP="00F8667F">
      <w:pPr>
        <w:spacing w:after="0" w:line="264" w:lineRule="auto"/>
        <w:jc w:val="both"/>
        <w:rPr>
          <w:rFonts w:ascii="Century Schoolbook" w:hAnsi="Century Schoolbook"/>
          <w:sz w:val="24"/>
          <w:szCs w:val="24"/>
        </w:rPr>
      </w:pPr>
      <w:r>
        <w:rPr>
          <w:rFonts w:ascii="Century Schoolbook" w:hAnsi="Century Schoolbook"/>
          <w:sz w:val="24"/>
          <w:szCs w:val="24"/>
        </w:rPr>
        <w:t>YEAS:_______________________________________________________________________</w:t>
      </w:r>
    </w:p>
    <w:p w14:paraId="790C3194" w14:textId="1534B48F" w:rsidR="009008B7" w:rsidRDefault="009008B7" w:rsidP="00F8667F">
      <w:pPr>
        <w:spacing w:after="0" w:line="264" w:lineRule="auto"/>
        <w:jc w:val="both"/>
        <w:rPr>
          <w:rFonts w:ascii="Century Schoolbook" w:hAnsi="Century Schoolbook"/>
          <w:sz w:val="24"/>
          <w:szCs w:val="24"/>
        </w:rPr>
      </w:pPr>
      <w:r>
        <w:rPr>
          <w:rFonts w:ascii="Century Schoolbook" w:hAnsi="Century Schoolbook"/>
          <w:sz w:val="24"/>
          <w:szCs w:val="24"/>
        </w:rPr>
        <w:t>_____________________________________________________________________________</w:t>
      </w:r>
    </w:p>
    <w:p w14:paraId="49A8EAF1" w14:textId="54543AFF" w:rsidR="009008B7" w:rsidRDefault="009008B7" w:rsidP="00F8667F">
      <w:pPr>
        <w:spacing w:after="0" w:line="264" w:lineRule="auto"/>
        <w:jc w:val="both"/>
        <w:rPr>
          <w:rFonts w:ascii="Century Schoolbook" w:hAnsi="Century Schoolbook"/>
          <w:sz w:val="24"/>
          <w:szCs w:val="24"/>
        </w:rPr>
      </w:pPr>
    </w:p>
    <w:p w14:paraId="3E683043" w14:textId="77777777" w:rsidR="009008B7" w:rsidRDefault="009008B7" w:rsidP="00F8667F">
      <w:pPr>
        <w:spacing w:after="0" w:line="264" w:lineRule="auto"/>
        <w:jc w:val="both"/>
        <w:rPr>
          <w:rFonts w:ascii="Century Schoolbook" w:hAnsi="Century Schoolbook"/>
          <w:sz w:val="24"/>
          <w:szCs w:val="24"/>
        </w:rPr>
      </w:pPr>
    </w:p>
    <w:p w14:paraId="39125632" w14:textId="77777777" w:rsidR="009008B7" w:rsidRDefault="009008B7" w:rsidP="00F8667F">
      <w:pPr>
        <w:spacing w:after="0" w:line="264" w:lineRule="auto"/>
        <w:jc w:val="both"/>
        <w:rPr>
          <w:rFonts w:ascii="Century Schoolbook" w:hAnsi="Century Schoolbook"/>
          <w:sz w:val="24"/>
          <w:szCs w:val="24"/>
        </w:rPr>
      </w:pPr>
      <w:r>
        <w:rPr>
          <w:rFonts w:ascii="Century Schoolbook" w:hAnsi="Century Schoolbook"/>
          <w:sz w:val="24"/>
          <w:szCs w:val="24"/>
        </w:rPr>
        <w:t>NEAS:_______________________________________________________________________</w:t>
      </w:r>
    </w:p>
    <w:p w14:paraId="784DA294" w14:textId="77777777" w:rsidR="009008B7" w:rsidRDefault="009008B7" w:rsidP="00F8667F">
      <w:pPr>
        <w:spacing w:after="0" w:line="264" w:lineRule="auto"/>
        <w:jc w:val="both"/>
        <w:rPr>
          <w:rFonts w:ascii="Century Schoolbook" w:hAnsi="Century Schoolbook"/>
          <w:sz w:val="24"/>
          <w:szCs w:val="24"/>
        </w:rPr>
      </w:pPr>
    </w:p>
    <w:p w14:paraId="761F7C3D" w14:textId="0F818EBD" w:rsidR="009008B7" w:rsidRDefault="009008B7" w:rsidP="00F8667F">
      <w:pPr>
        <w:spacing w:after="0" w:line="264" w:lineRule="auto"/>
        <w:jc w:val="both"/>
        <w:rPr>
          <w:rFonts w:ascii="Century Schoolbook" w:hAnsi="Century Schoolbook"/>
          <w:sz w:val="24"/>
          <w:szCs w:val="24"/>
        </w:rPr>
      </w:pPr>
      <w:r>
        <w:rPr>
          <w:rFonts w:ascii="Century Schoolbook" w:hAnsi="Century Schoolbook"/>
          <w:sz w:val="24"/>
          <w:szCs w:val="24"/>
        </w:rPr>
        <w:t>_____________________________________________________________________________</w:t>
      </w:r>
    </w:p>
    <w:p w14:paraId="3DCD856E" w14:textId="77777777" w:rsidR="009008B7" w:rsidRDefault="009008B7" w:rsidP="00F8667F">
      <w:pPr>
        <w:spacing w:after="0" w:line="264" w:lineRule="auto"/>
        <w:jc w:val="both"/>
        <w:rPr>
          <w:rFonts w:ascii="Century Schoolbook" w:hAnsi="Century Schoolbook"/>
          <w:sz w:val="24"/>
          <w:szCs w:val="24"/>
        </w:rPr>
      </w:pPr>
    </w:p>
    <w:p w14:paraId="6C08F6F3" w14:textId="7EF8B12D" w:rsidR="00AC2F97" w:rsidRDefault="00AC2F97" w:rsidP="00F8667F">
      <w:pPr>
        <w:spacing w:after="0" w:line="264" w:lineRule="auto"/>
        <w:jc w:val="both"/>
        <w:rPr>
          <w:rFonts w:ascii="Century Schoolbook" w:hAnsi="Century Schoolbook"/>
          <w:sz w:val="24"/>
          <w:szCs w:val="24"/>
        </w:rPr>
      </w:pPr>
      <w:r>
        <w:rPr>
          <w:rFonts w:ascii="Century Schoolbook" w:hAnsi="Century Schoolbook"/>
          <w:sz w:val="24"/>
          <w:szCs w:val="24"/>
        </w:rPr>
        <w:t>[I</w:t>
      </w:r>
      <w:r w:rsidRPr="00E55B85">
        <w:rPr>
          <w:rFonts w:ascii="Century Schoolbook" w:hAnsi="Century Schoolbook"/>
          <w:sz w:val="24"/>
          <w:szCs w:val="24"/>
          <w:highlight w:val="yellow"/>
        </w:rPr>
        <w:t xml:space="preserve">nsert any concluding language the </w:t>
      </w:r>
      <w:r w:rsidR="009008B7" w:rsidRPr="00E55B85">
        <w:rPr>
          <w:rFonts w:ascii="Century Schoolbook" w:hAnsi="Century Schoolbook"/>
          <w:sz w:val="24"/>
          <w:szCs w:val="24"/>
          <w:highlight w:val="yellow"/>
        </w:rPr>
        <w:t>Board</w:t>
      </w:r>
      <w:r w:rsidRPr="00E55B85">
        <w:rPr>
          <w:rFonts w:ascii="Century Schoolbook" w:hAnsi="Century Schoolbook"/>
          <w:sz w:val="24"/>
          <w:szCs w:val="24"/>
          <w:highlight w:val="yellow"/>
        </w:rPr>
        <w:t xml:space="preserve"> generally uses</w:t>
      </w:r>
      <w:r>
        <w:rPr>
          <w:rFonts w:ascii="Century Schoolbook" w:hAnsi="Century Schoolbook"/>
          <w:sz w:val="24"/>
          <w:szCs w:val="24"/>
        </w:rPr>
        <w:t>].</w:t>
      </w:r>
    </w:p>
    <w:p w14:paraId="7D6A1FAA" w14:textId="493602C0" w:rsidR="00AC2F97" w:rsidRDefault="00AC2F97" w:rsidP="00F8667F">
      <w:pPr>
        <w:spacing w:after="0" w:line="264" w:lineRule="auto"/>
        <w:jc w:val="both"/>
        <w:rPr>
          <w:rFonts w:ascii="Century Schoolbook" w:hAnsi="Century Schoolbook"/>
          <w:sz w:val="24"/>
          <w:szCs w:val="24"/>
        </w:rPr>
      </w:pPr>
    </w:p>
    <w:p w14:paraId="38146E45" w14:textId="6804A4D7" w:rsidR="00AC2F97" w:rsidRDefault="00AC2F97" w:rsidP="00F8667F">
      <w:pPr>
        <w:spacing w:after="0" w:line="264" w:lineRule="auto"/>
        <w:jc w:val="both"/>
        <w:rPr>
          <w:rFonts w:ascii="Century Schoolbook" w:hAnsi="Century Schoolbook"/>
          <w:sz w:val="24"/>
          <w:szCs w:val="24"/>
        </w:rPr>
      </w:pPr>
      <w:r>
        <w:rPr>
          <w:rFonts w:ascii="Century Schoolbook" w:hAnsi="Century Schoolbook"/>
          <w:sz w:val="24"/>
          <w:szCs w:val="24"/>
        </w:rPr>
        <w:t>[</w:t>
      </w:r>
      <w:r w:rsidRPr="00E55B85">
        <w:rPr>
          <w:rFonts w:ascii="Century Schoolbook" w:hAnsi="Century Schoolbook"/>
          <w:sz w:val="24"/>
          <w:szCs w:val="24"/>
          <w:highlight w:val="yellow"/>
        </w:rPr>
        <w:t xml:space="preserve">Insert </w:t>
      </w:r>
      <w:r w:rsidR="009008B7" w:rsidRPr="00E55B85">
        <w:rPr>
          <w:rFonts w:ascii="Century Schoolbook" w:hAnsi="Century Schoolbook"/>
          <w:sz w:val="24"/>
          <w:szCs w:val="24"/>
          <w:highlight w:val="yellow"/>
        </w:rPr>
        <w:t>Board</w:t>
      </w:r>
      <w:r w:rsidRPr="00E55B85">
        <w:rPr>
          <w:rFonts w:ascii="Century Schoolbook" w:hAnsi="Century Schoolbook"/>
          <w:sz w:val="24"/>
          <w:szCs w:val="24"/>
          <w:highlight w:val="yellow"/>
        </w:rPr>
        <w:t>’s usual signature block</w:t>
      </w:r>
      <w:r>
        <w:rPr>
          <w:rFonts w:ascii="Century Schoolbook" w:hAnsi="Century Schoolbook"/>
          <w:sz w:val="24"/>
          <w:szCs w:val="24"/>
        </w:rPr>
        <w:t>].</w:t>
      </w:r>
    </w:p>
    <w:p w14:paraId="33361447" w14:textId="766A366B" w:rsidR="00AC2F97" w:rsidRDefault="00AC2F97" w:rsidP="00F8667F">
      <w:pPr>
        <w:spacing w:after="0" w:line="264" w:lineRule="auto"/>
        <w:jc w:val="both"/>
        <w:rPr>
          <w:rFonts w:ascii="Century Schoolbook" w:hAnsi="Century Schoolbook"/>
          <w:sz w:val="24"/>
          <w:szCs w:val="24"/>
        </w:rPr>
      </w:pPr>
    </w:p>
    <w:p w14:paraId="63B6AFC3" w14:textId="77777777" w:rsidR="00AC2F97" w:rsidRPr="00F8667F" w:rsidRDefault="00AC2F97" w:rsidP="00F8667F">
      <w:pPr>
        <w:spacing w:after="0" w:line="264" w:lineRule="auto"/>
        <w:jc w:val="both"/>
        <w:rPr>
          <w:rFonts w:ascii="Century Schoolbook" w:hAnsi="Century Schoolbook"/>
          <w:sz w:val="24"/>
          <w:szCs w:val="24"/>
        </w:rPr>
      </w:pPr>
    </w:p>
    <w:sectPr w:rsidR="00AC2F97" w:rsidRPr="00F8667F">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CDAFF4" w16cex:dateUtc="2024-12-30T22:14:00Z"/>
  <w16cex:commentExtensible w16cex:durableId="37E0C595" w16cex:dateUtc="2024-12-30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D2B83C" w16cid:durableId="3ECDAFF4"/>
  <w16cid:commentId w16cid:paraId="2FAAAFE2" w16cid:durableId="37E0C5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5B131" w14:textId="77777777" w:rsidR="00A92817" w:rsidRDefault="00A92817" w:rsidP="00644317">
      <w:pPr>
        <w:spacing w:after="0" w:line="240" w:lineRule="auto"/>
      </w:pPr>
      <w:r>
        <w:separator/>
      </w:r>
    </w:p>
  </w:endnote>
  <w:endnote w:type="continuationSeparator" w:id="0">
    <w:p w14:paraId="3FA174D2" w14:textId="77777777" w:rsidR="00A92817" w:rsidRDefault="00A92817" w:rsidP="00644317">
      <w:pPr>
        <w:spacing w:after="0" w:line="240" w:lineRule="auto"/>
      </w:pPr>
      <w:r>
        <w:continuationSeparator/>
      </w:r>
    </w:p>
  </w:endnote>
  <w:endnote w:type="continuationNotice" w:id="1">
    <w:p w14:paraId="4263A5CC" w14:textId="77777777" w:rsidR="00A92817" w:rsidRDefault="00A92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772922"/>
      <w:docPartObj>
        <w:docPartGallery w:val="Page Numbers (Bottom of Page)"/>
        <w:docPartUnique/>
      </w:docPartObj>
    </w:sdtPr>
    <w:sdtEndPr>
      <w:rPr>
        <w:rFonts w:ascii="Century Schoolbook" w:hAnsi="Century Schoolbook"/>
        <w:noProof/>
        <w:sz w:val="24"/>
        <w:szCs w:val="24"/>
      </w:rPr>
    </w:sdtEndPr>
    <w:sdtContent>
      <w:p w14:paraId="549D0A87" w14:textId="05C39B94" w:rsidR="00E55B85" w:rsidRPr="000A6FE4" w:rsidRDefault="00E55B85">
        <w:pPr>
          <w:pStyle w:val="Footer"/>
          <w:jc w:val="center"/>
          <w:rPr>
            <w:rFonts w:ascii="Century Schoolbook" w:hAnsi="Century Schoolbook"/>
            <w:sz w:val="24"/>
            <w:szCs w:val="24"/>
          </w:rPr>
        </w:pPr>
        <w:r>
          <w:rPr>
            <w:rFonts w:ascii="Century Schoolbook" w:hAnsi="Century Schoolbook"/>
            <w:noProof/>
            <w:sz w:val="24"/>
            <w:szCs w:val="24"/>
          </w:rPr>
          <w:t xml:space="preserve">Page </w:t>
        </w:r>
        <w:r w:rsidRPr="000A6FE4">
          <w:rPr>
            <w:rFonts w:ascii="Century Schoolbook" w:hAnsi="Century Schoolbook"/>
            <w:sz w:val="24"/>
            <w:szCs w:val="24"/>
          </w:rPr>
          <w:fldChar w:fldCharType="begin"/>
        </w:r>
        <w:r w:rsidRPr="000A6FE4">
          <w:rPr>
            <w:rFonts w:ascii="Century Schoolbook" w:hAnsi="Century Schoolbook"/>
            <w:sz w:val="24"/>
            <w:szCs w:val="24"/>
          </w:rPr>
          <w:instrText xml:space="preserve"> PAGE   \* MERGEFORMAT </w:instrText>
        </w:r>
        <w:r w:rsidRPr="000A6FE4">
          <w:rPr>
            <w:rFonts w:ascii="Century Schoolbook" w:hAnsi="Century Schoolbook"/>
            <w:sz w:val="24"/>
            <w:szCs w:val="24"/>
          </w:rPr>
          <w:fldChar w:fldCharType="separate"/>
        </w:r>
        <w:r w:rsidR="00074BFB">
          <w:rPr>
            <w:rFonts w:ascii="Century Schoolbook" w:hAnsi="Century Schoolbook"/>
            <w:noProof/>
            <w:sz w:val="24"/>
            <w:szCs w:val="24"/>
          </w:rPr>
          <w:t>2</w:t>
        </w:r>
        <w:r w:rsidRPr="000A6FE4">
          <w:rPr>
            <w:rFonts w:ascii="Century Schoolbook" w:hAnsi="Century Schoolbook"/>
            <w:noProof/>
            <w:sz w:val="24"/>
            <w:szCs w:val="24"/>
          </w:rPr>
          <w:fldChar w:fldCharType="end"/>
        </w:r>
        <w:r>
          <w:rPr>
            <w:rFonts w:ascii="Century Schoolbook" w:hAnsi="Century Schoolbook"/>
            <w:noProof/>
            <w:sz w:val="24"/>
            <w:szCs w:val="24"/>
          </w:rPr>
          <w:t xml:space="preserve"> of 2</w:t>
        </w:r>
      </w:p>
    </w:sdtContent>
  </w:sdt>
  <w:p w14:paraId="27A9C50C" w14:textId="77777777" w:rsidR="00E55B85" w:rsidRDefault="00E5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A4FF0" w14:textId="77777777" w:rsidR="00A92817" w:rsidRDefault="00A92817" w:rsidP="00644317">
      <w:pPr>
        <w:spacing w:after="0" w:line="240" w:lineRule="auto"/>
      </w:pPr>
      <w:r>
        <w:separator/>
      </w:r>
    </w:p>
  </w:footnote>
  <w:footnote w:type="continuationSeparator" w:id="0">
    <w:p w14:paraId="415FF038" w14:textId="77777777" w:rsidR="00A92817" w:rsidRDefault="00A92817" w:rsidP="00644317">
      <w:pPr>
        <w:spacing w:after="0" w:line="240" w:lineRule="auto"/>
      </w:pPr>
      <w:r>
        <w:continuationSeparator/>
      </w:r>
    </w:p>
  </w:footnote>
  <w:footnote w:type="continuationNotice" w:id="1">
    <w:p w14:paraId="50FE98B2" w14:textId="77777777" w:rsidR="00A92817" w:rsidRDefault="00A928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216CF"/>
    <w:multiLevelType w:val="hybridMultilevel"/>
    <w:tmpl w:val="757C9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17"/>
    <w:rsid w:val="00074BFB"/>
    <w:rsid w:val="000D2E36"/>
    <w:rsid w:val="001224DA"/>
    <w:rsid w:val="001A78B8"/>
    <w:rsid w:val="001D1749"/>
    <w:rsid w:val="002363F6"/>
    <w:rsid w:val="002C2C45"/>
    <w:rsid w:val="003670EB"/>
    <w:rsid w:val="00372A83"/>
    <w:rsid w:val="00376B51"/>
    <w:rsid w:val="003D0BB5"/>
    <w:rsid w:val="003D4F88"/>
    <w:rsid w:val="003D7C78"/>
    <w:rsid w:val="00435873"/>
    <w:rsid w:val="004C614F"/>
    <w:rsid w:val="004E323B"/>
    <w:rsid w:val="00507BDC"/>
    <w:rsid w:val="00515561"/>
    <w:rsid w:val="005E2C22"/>
    <w:rsid w:val="00644317"/>
    <w:rsid w:val="00667084"/>
    <w:rsid w:val="007171BC"/>
    <w:rsid w:val="00807AE9"/>
    <w:rsid w:val="0081705F"/>
    <w:rsid w:val="00824738"/>
    <w:rsid w:val="008E61EB"/>
    <w:rsid w:val="008F4F17"/>
    <w:rsid w:val="009008B7"/>
    <w:rsid w:val="00973BDE"/>
    <w:rsid w:val="00A4034F"/>
    <w:rsid w:val="00A87BD0"/>
    <w:rsid w:val="00A92817"/>
    <w:rsid w:val="00AC2F97"/>
    <w:rsid w:val="00AE5811"/>
    <w:rsid w:val="00B9214F"/>
    <w:rsid w:val="00BE7529"/>
    <w:rsid w:val="00C50AE8"/>
    <w:rsid w:val="00C65A12"/>
    <w:rsid w:val="00C866FA"/>
    <w:rsid w:val="00D1237A"/>
    <w:rsid w:val="00D23734"/>
    <w:rsid w:val="00D53F38"/>
    <w:rsid w:val="00D578E7"/>
    <w:rsid w:val="00D60BFB"/>
    <w:rsid w:val="00E13B7E"/>
    <w:rsid w:val="00E55B85"/>
    <w:rsid w:val="00EB3838"/>
    <w:rsid w:val="00F347D9"/>
    <w:rsid w:val="00F34F62"/>
    <w:rsid w:val="00F516FB"/>
    <w:rsid w:val="00F56A09"/>
    <w:rsid w:val="00F8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6641"/>
  <w15:chartTrackingRefBased/>
  <w15:docId w15:val="{F6BA0C73-BBCC-4FDA-AF54-A6071191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3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4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317"/>
    <w:rPr>
      <w:sz w:val="20"/>
      <w:szCs w:val="20"/>
    </w:rPr>
  </w:style>
  <w:style w:type="character" w:styleId="FootnoteReference">
    <w:name w:val="footnote reference"/>
    <w:basedOn w:val="DefaultParagraphFont"/>
    <w:uiPriority w:val="99"/>
    <w:semiHidden/>
    <w:unhideWhenUsed/>
    <w:rsid w:val="00644317"/>
    <w:rPr>
      <w:vertAlign w:val="superscript"/>
    </w:rPr>
  </w:style>
  <w:style w:type="character" w:styleId="Hyperlink">
    <w:name w:val="Hyperlink"/>
    <w:basedOn w:val="DefaultParagraphFont"/>
    <w:uiPriority w:val="99"/>
    <w:unhideWhenUsed/>
    <w:rsid w:val="00644317"/>
    <w:rPr>
      <w:color w:val="0563C1" w:themeColor="hyperlink"/>
      <w:u w:val="single"/>
    </w:rPr>
  </w:style>
  <w:style w:type="character" w:styleId="CommentReference">
    <w:name w:val="annotation reference"/>
    <w:basedOn w:val="DefaultParagraphFont"/>
    <w:uiPriority w:val="99"/>
    <w:semiHidden/>
    <w:unhideWhenUsed/>
    <w:rsid w:val="00644317"/>
    <w:rPr>
      <w:sz w:val="16"/>
      <w:szCs w:val="16"/>
    </w:rPr>
  </w:style>
  <w:style w:type="paragraph" w:styleId="CommentText">
    <w:name w:val="annotation text"/>
    <w:basedOn w:val="Normal"/>
    <w:link w:val="CommentTextChar"/>
    <w:uiPriority w:val="99"/>
    <w:unhideWhenUsed/>
    <w:rsid w:val="00644317"/>
    <w:pPr>
      <w:spacing w:line="240" w:lineRule="auto"/>
    </w:pPr>
    <w:rPr>
      <w:sz w:val="20"/>
      <w:szCs w:val="20"/>
    </w:rPr>
  </w:style>
  <w:style w:type="character" w:customStyle="1" w:styleId="CommentTextChar">
    <w:name w:val="Comment Text Char"/>
    <w:basedOn w:val="DefaultParagraphFont"/>
    <w:link w:val="CommentText"/>
    <w:uiPriority w:val="99"/>
    <w:rsid w:val="00644317"/>
    <w:rPr>
      <w:sz w:val="20"/>
      <w:szCs w:val="20"/>
    </w:rPr>
  </w:style>
  <w:style w:type="paragraph" w:styleId="Footer">
    <w:name w:val="footer"/>
    <w:basedOn w:val="Normal"/>
    <w:link w:val="FooterChar"/>
    <w:uiPriority w:val="99"/>
    <w:unhideWhenUsed/>
    <w:rsid w:val="0064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317"/>
  </w:style>
  <w:style w:type="paragraph" w:styleId="BalloonText">
    <w:name w:val="Balloon Text"/>
    <w:basedOn w:val="Normal"/>
    <w:link w:val="BalloonTextChar"/>
    <w:uiPriority w:val="99"/>
    <w:semiHidden/>
    <w:unhideWhenUsed/>
    <w:rsid w:val="00644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317"/>
    <w:rPr>
      <w:rFonts w:ascii="Segoe UI" w:hAnsi="Segoe UI" w:cs="Segoe UI"/>
      <w:sz w:val="18"/>
      <w:szCs w:val="18"/>
    </w:rPr>
  </w:style>
  <w:style w:type="paragraph" w:styleId="Header">
    <w:name w:val="header"/>
    <w:basedOn w:val="Normal"/>
    <w:link w:val="HeaderChar"/>
    <w:uiPriority w:val="99"/>
    <w:unhideWhenUsed/>
    <w:rsid w:val="00644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317"/>
  </w:style>
  <w:style w:type="paragraph" w:styleId="CommentSubject">
    <w:name w:val="annotation subject"/>
    <w:basedOn w:val="CommentText"/>
    <w:next w:val="CommentText"/>
    <w:link w:val="CommentSubjectChar"/>
    <w:uiPriority w:val="99"/>
    <w:semiHidden/>
    <w:unhideWhenUsed/>
    <w:rsid w:val="00D23734"/>
    <w:rPr>
      <w:b/>
      <w:bCs/>
    </w:rPr>
  </w:style>
  <w:style w:type="character" w:customStyle="1" w:styleId="CommentSubjectChar">
    <w:name w:val="Comment Subject Char"/>
    <w:basedOn w:val="CommentTextChar"/>
    <w:link w:val="CommentSubject"/>
    <w:uiPriority w:val="99"/>
    <w:semiHidden/>
    <w:rsid w:val="00D23734"/>
    <w:rPr>
      <w:b/>
      <w:bCs/>
      <w:sz w:val="20"/>
      <w:szCs w:val="20"/>
    </w:rPr>
  </w:style>
  <w:style w:type="paragraph" w:styleId="Revision">
    <w:name w:val="Revision"/>
    <w:hidden/>
    <w:uiPriority w:val="99"/>
    <w:semiHidden/>
    <w:rsid w:val="00A40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mailDate xmlns="ca16c4f5-3df3-4991-b6ea-6d5d16418579" xsi:nil="true"/>
    <IconOverlay xmlns="http://schemas.microsoft.com/sharepoint/v4" xsi:nil="true"/>
    <TaxCatchAll xmlns="520ccf17-c77a-4e4e-9f7d-3cbac98eef11" xsi:nil="true"/>
    <Link xmlns="ca16c4f5-3df3-4991-b6ea-6d5d16418579">
      <Url xsi:nil="true"/>
      <Description xsi:nil="true"/>
    </Link>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4DA988EE2CF4EBB5E940677452FAC" ma:contentTypeVersion="26" ma:contentTypeDescription="Create a new document." ma:contentTypeScope="" ma:versionID="15d66274bc7b0146fe8037084a6b9a3b">
  <xsd:schema xmlns:xsd="http://www.w3.org/2001/XMLSchema" xmlns:xs="http://www.w3.org/2001/XMLSchema" xmlns:p="http://schemas.microsoft.com/office/2006/metadata/properties" xmlns:ns1="http://schemas.microsoft.com/sharepoint/v3" xmlns:ns2="520ccf17-c77a-4e4e-9f7d-3cbac98eef11" xmlns:ns3="http://schemas.microsoft.com/sharepoint/v4" xmlns:ns4="ca16c4f5-3df3-4991-b6ea-6d5d16418579" targetNamespace="http://schemas.microsoft.com/office/2006/metadata/properties" ma:root="true" ma:fieldsID="21322797b104f40f6e092cce3269ca47" ns1:_="" ns2:_="" ns3:_="" ns4:_="">
    <xsd:import namespace="http://schemas.microsoft.com/sharepoint/v3"/>
    <xsd:import namespace="520ccf17-c77a-4e4e-9f7d-3cbac98eef11"/>
    <xsd:import namespace="http://schemas.microsoft.com/sharepoint/v4"/>
    <xsd:import namespace="ca16c4f5-3df3-4991-b6ea-6d5d16418579"/>
    <xsd:element name="properties">
      <xsd:complexType>
        <xsd:sequence>
          <xsd:element name="documentManagement">
            <xsd:complexType>
              <xsd:all>
                <xsd:element ref="ns2:SharedWithUsers" minOccurs="0"/>
                <xsd:element ref="ns2:SharingHintHash"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Link" minOccurs="0"/>
                <xsd:element ref="ns4:MediaServiceAutoKeyPoints" minOccurs="0"/>
                <xsd:element ref="ns4:MediaServiceKeyPoints" minOccurs="0"/>
                <xsd:element ref="ns4:MediaLengthInSeconds" minOccurs="0"/>
                <xsd:element ref="ns4:EmailDate"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ccf17-c77a-4e4e-9f7d-3cbac98ee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2dda1d7-6a5a-4d36-a2d4-0534114ef668}" ma:internalName="TaxCatchAll" ma:showField="CatchAllData" ma:web="520ccf17-c77a-4e4e-9f7d-3cbac98ee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6c4f5-3df3-4991-b6ea-6d5d16418579"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EmailDate" ma:index="28" nillable="true" ma:displayName="Email Date" ma:format="DateTime" ma:internalName="Email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694F-41EC-43E4-A40C-BBD2FF4C4EF4}">
  <ds:schemaRefs>
    <ds:schemaRef ds:uri="http://schemas.microsoft.com/sharepoint/v3/contenttype/forms"/>
  </ds:schemaRefs>
</ds:datastoreItem>
</file>

<file path=customXml/itemProps2.xml><?xml version="1.0" encoding="utf-8"?>
<ds:datastoreItem xmlns:ds="http://schemas.openxmlformats.org/officeDocument/2006/customXml" ds:itemID="{483F49AB-13B8-40F2-A0F7-1DC9376D7425}">
  <ds:schemaRefs>
    <ds:schemaRef ds:uri="http://schemas.microsoft.com/office/2006/metadata/properties"/>
    <ds:schemaRef ds:uri="http://schemas.microsoft.com/office/infopath/2007/PartnerControls"/>
    <ds:schemaRef ds:uri="http://schemas.microsoft.com/sharepoint/v3"/>
    <ds:schemaRef ds:uri="ca16c4f5-3df3-4991-b6ea-6d5d16418579"/>
    <ds:schemaRef ds:uri="http://schemas.microsoft.com/sharepoint/v4"/>
    <ds:schemaRef ds:uri="520ccf17-c77a-4e4e-9f7d-3cbac98eef11"/>
  </ds:schemaRefs>
</ds:datastoreItem>
</file>

<file path=customXml/itemProps3.xml><?xml version="1.0" encoding="utf-8"?>
<ds:datastoreItem xmlns:ds="http://schemas.openxmlformats.org/officeDocument/2006/customXml" ds:itemID="{22DF133E-FBD5-437D-95EF-570F5A6B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0ccf17-c77a-4e4e-9f7d-3cbac98eef11"/>
    <ds:schemaRef ds:uri="http://schemas.microsoft.com/sharepoint/v4"/>
    <ds:schemaRef ds:uri="ca16c4f5-3df3-4991-b6ea-6d5d16418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FFB11-DD88-47A5-9759-1306B959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Brungard, Morgan</dc:creator>
  <cp:keywords/>
  <dc:description/>
  <cp:lastModifiedBy>Aguinaga, Ben</cp:lastModifiedBy>
  <cp:revision>2</cp:revision>
  <dcterms:created xsi:type="dcterms:W3CDTF">2025-01-03T17:50:00Z</dcterms:created>
  <dcterms:modified xsi:type="dcterms:W3CDTF">2025-01-03T17:50:00Z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0x010100A1D4DA988EE2CF4EBB5E940677452FAC</vt:lpwstr>
  </property>
</Properties>
</file>